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7842" w:rsidRDefault="006B7842" w:rsidP="006B7842">
      <w:pPr>
        <w:jc w:val="both"/>
        <w:rPr>
          <w:rFonts w:ascii="Calibri" w:hAnsi="Calibri" w:cs="Calibri"/>
          <w:b/>
          <w:sz w:val="24"/>
          <w:szCs w:val="24"/>
        </w:rPr>
      </w:pPr>
      <w:bookmarkStart w:id="0" w:name="_GoBack"/>
      <w:bookmarkEnd w:id="0"/>
      <w:r>
        <w:rPr>
          <w:rFonts w:ascii="Calibri" w:hAnsi="Calibri" w:cs="Calibri"/>
          <w:b/>
          <w:sz w:val="24"/>
          <w:szCs w:val="24"/>
        </w:rPr>
        <w:t>Práctica 6</w:t>
      </w:r>
    </w:p>
    <w:p w:rsidR="006B7842" w:rsidRDefault="006B7842" w:rsidP="006B7842">
      <w:pPr>
        <w:pStyle w:val="Prrafodelista"/>
        <w:numPr>
          <w:ilvl w:val="0"/>
          <w:numId w:val="2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Es un estándar para la seguridad de la información publicado por la OIN y la CEI</w:t>
      </w:r>
      <w:r w:rsidR="006100B3">
        <w:rPr>
          <w:rFonts w:ascii="Calibri" w:hAnsi="Calibri" w:cs="Calibri"/>
          <w:sz w:val="24"/>
          <w:szCs w:val="24"/>
        </w:rPr>
        <w:t>.</w:t>
      </w:r>
    </w:p>
    <w:p w:rsidR="00203CCA" w:rsidRPr="00203CCA" w:rsidRDefault="00203CCA" w:rsidP="006100B3">
      <w:pPr>
        <w:pStyle w:val="Prrafodelista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ISO/IEC 27002:2005</w:t>
      </w:r>
      <w:r w:rsidRPr="00203CCA">
        <w:rPr>
          <w:rFonts w:ascii="Calibri" w:hAnsi="Calibri" w:cs="Calibri"/>
          <w:b/>
          <w:sz w:val="24"/>
          <w:szCs w:val="24"/>
        </w:rPr>
        <w:sym w:font="Wingdings" w:char="F0E0"/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203CCA">
        <w:rPr>
          <w:rFonts w:ascii="Calibri" w:hAnsi="Calibri" w:cs="Calibri"/>
          <w:sz w:val="24"/>
          <w:szCs w:val="24"/>
        </w:rPr>
        <w:t>la responsabilidad recae sobre los activos, estableciendo medidas necesarias para la protección de estos, la seguridad está ligada a los recursos humanos</w:t>
      </w:r>
      <w:r>
        <w:rPr>
          <w:rFonts w:ascii="Calibri" w:hAnsi="Calibri" w:cs="Calibri"/>
          <w:sz w:val="24"/>
          <w:szCs w:val="24"/>
        </w:rPr>
        <w:t>, previene y controla los accesos físicos en las instalaciones de la organización, etc.</w:t>
      </w:r>
    </w:p>
    <w:p w:rsidR="00203CCA" w:rsidRDefault="006100B3" w:rsidP="00203CCA">
      <w:pPr>
        <w:pStyle w:val="Prrafodelista"/>
        <w:jc w:val="both"/>
        <w:rPr>
          <w:rFonts w:ascii="Calibri" w:hAnsi="Calibri" w:cs="Calibri"/>
          <w:sz w:val="24"/>
          <w:szCs w:val="24"/>
        </w:rPr>
      </w:pPr>
      <w:r w:rsidRPr="006100B3">
        <w:rPr>
          <w:rFonts w:ascii="Calibri" w:hAnsi="Calibri" w:cs="Calibri"/>
          <w:b/>
          <w:sz w:val="24"/>
          <w:szCs w:val="24"/>
        </w:rPr>
        <w:t>ISO/IEC 27002:2013</w:t>
      </w:r>
      <w:r w:rsidRPr="006100B3">
        <w:rPr>
          <w:rFonts w:ascii="Calibri" w:hAnsi="Calibri" w:cs="Calibri"/>
          <w:sz w:val="24"/>
          <w:szCs w:val="24"/>
        </w:rPr>
        <w:sym w:font="Wingdings" w:char="F0E0"/>
      </w:r>
      <w:r>
        <w:rPr>
          <w:rFonts w:ascii="Calibri" w:hAnsi="Calibri" w:cs="Calibri"/>
          <w:sz w:val="24"/>
          <w:szCs w:val="24"/>
        </w:rPr>
        <w:t xml:space="preserve"> en ella se describen los dominios y mecanismos de control, se encuentran los controles que buscan mitigar el impacto o la posibilidad de ocurrencia de los diferentes riesgos a los cuales se encuentra expuesta la organización. Además, las organizaciones pueden encontrar una guía que sirva para la implementación de los controles de seguridad de la organización y de las prácticas más eficaces para gestionar la seguridad de la información. Lo relacionado con los dispositivos móviles y teletrabajo ahora están dentro de la sección 6 (Organización de la Seguridad de la Información)</w:t>
      </w:r>
    </w:p>
    <w:p w:rsidR="00203CCA" w:rsidRPr="00203CCA" w:rsidRDefault="00203CCA" w:rsidP="00203CCA">
      <w:pPr>
        <w:pStyle w:val="Prrafodelista"/>
        <w:jc w:val="both"/>
        <w:rPr>
          <w:rFonts w:ascii="Calibri" w:hAnsi="Calibri" w:cs="Calibri"/>
          <w:sz w:val="24"/>
          <w:szCs w:val="24"/>
        </w:rPr>
      </w:pPr>
    </w:p>
    <w:p w:rsidR="00203CCA" w:rsidRDefault="009D3F05" w:rsidP="009D3F05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  <w:lang w:eastAsia="es-ES"/>
        </w:rPr>
        <w:lastRenderedPageBreak/>
        <w:drawing>
          <wp:inline distT="0" distB="0" distL="0" distR="0">
            <wp:extent cx="5400040" cy="3150235"/>
            <wp:effectExtent l="0" t="0" r="10160" b="12065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DC37BC" w:rsidRDefault="00DC37BC" w:rsidP="009D3F05">
      <w:pPr>
        <w:jc w:val="both"/>
        <w:rPr>
          <w:rFonts w:ascii="Calibri" w:hAnsi="Calibri" w:cs="Calibri"/>
          <w:sz w:val="24"/>
          <w:szCs w:val="24"/>
        </w:rPr>
      </w:pPr>
    </w:p>
    <w:p w:rsidR="006A2215" w:rsidRPr="006A2215" w:rsidRDefault="006A2215" w:rsidP="009D3F05">
      <w:pPr>
        <w:jc w:val="both"/>
        <w:rPr>
          <w:rFonts w:ascii="Calibri" w:hAnsi="Calibri" w:cs="Calibri"/>
          <w:sz w:val="24"/>
          <w:szCs w:val="24"/>
        </w:rPr>
      </w:pPr>
    </w:p>
    <w:sectPr w:rsidR="006A2215" w:rsidRPr="006A22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E236D"/>
    <w:multiLevelType w:val="hybridMultilevel"/>
    <w:tmpl w:val="CA36F3C4"/>
    <w:lvl w:ilvl="0" w:tplc="3F1A35D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563AA6"/>
    <w:multiLevelType w:val="hybridMultilevel"/>
    <w:tmpl w:val="844E09CC"/>
    <w:lvl w:ilvl="0" w:tplc="2F30D0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842"/>
    <w:rsid w:val="00073EA4"/>
    <w:rsid w:val="000D614E"/>
    <w:rsid w:val="00203CCA"/>
    <w:rsid w:val="004764B4"/>
    <w:rsid w:val="006100B3"/>
    <w:rsid w:val="006A2215"/>
    <w:rsid w:val="006B7842"/>
    <w:rsid w:val="009D3F05"/>
    <w:rsid w:val="00B85555"/>
    <w:rsid w:val="00DC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DCC62A"/>
  <w15:chartTrackingRefBased/>
  <w15:docId w15:val="{D5E39C7B-08FB-46F5-8836-A4B7EFA53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B7842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D3F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3F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title>
    <c:autoTitleDeleted val="0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Número de controles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C9DF-4C9E-8B44-886D850582C5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C9DF-4C9E-8B44-886D850582C5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C9DF-4C9E-8B44-886D850582C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7-C9DF-4C9E-8B44-886D850582C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9-C9DF-4C9E-8B44-886D850582C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B-C9DF-4C9E-8B44-886D850582C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D-C9DF-4C9E-8B44-886D850582C5}"/>
              </c:ext>
            </c:extLst>
          </c:dPt>
          <c:dPt>
            <c:idx val="7"/>
            <c:bubble3D val="0"/>
            <c:spPr>
              <a:solidFill>
                <a:schemeClr val="accent2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F-C9DF-4C9E-8B44-886D850582C5}"/>
              </c:ext>
            </c:extLst>
          </c:dPt>
          <c:dPt>
            <c:idx val="8"/>
            <c:bubble3D val="0"/>
            <c:spPr>
              <a:solidFill>
                <a:schemeClr val="accent3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1-C9DF-4C9E-8B44-886D850582C5}"/>
              </c:ext>
            </c:extLst>
          </c:dPt>
          <c:dPt>
            <c:idx val="9"/>
            <c:bubble3D val="0"/>
            <c:spPr>
              <a:solidFill>
                <a:schemeClr val="accent4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3-C9DF-4C9E-8B44-886D850582C5}"/>
              </c:ext>
            </c:extLst>
          </c:dPt>
          <c:dPt>
            <c:idx val="10"/>
            <c:bubble3D val="0"/>
            <c:spPr>
              <a:solidFill>
                <a:schemeClr val="accent5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5-C9DF-4C9E-8B44-886D850582C5}"/>
              </c:ext>
            </c:extLst>
          </c:dPt>
          <c:dPt>
            <c:idx val="11"/>
            <c:bubble3D val="0"/>
            <c:spPr>
              <a:solidFill>
                <a:schemeClr val="accent6">
                  <a:lumMod val="6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7-C9DF-4C9E-8B44-886D850582C5}"/>
              </c:ext>
            </c:extLst>
          </c:dPt>
          <c:dPt>
            <c:idx val="12"/>
            <c:bubble3D val="0"/>
            <c:spPr>
              <a:solidFill>
                <a:schemeClr val="accent1">
                  <a:lumMod val="80000"/>
                  <a:lumOff val="2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9-C9DF-4C9E-8B44-886D850582C5}"/>
              </c:ext>
            </c:extLst>
          </c:dPt>
          <c:dPt>
            <c:idx val="13"/>
            <c:bubble3D val="0"/>
            <c:spPr>
              <a:solidFill>
                <a:schemeClr val="accent2">
                  <a:lumMod val="80000"/>
                  <a:lumOff val="2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B-C9DF-4C9E-8B44-886D850582C5}"/>
              </c:ext>
            </c:extLst>
          </c:dPt>
          <c:dPt>
            <c:idx val="14"/>
            <c:bubble3D val="0"/>
            <c:spPr>
              <a:solidFill>
                <a:schemeClr val="accent3">
                  <a:lumMod val="80000"/>
                  <a:lumOff val="20000"/>
                </a:scheme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1D-C9DF-4C9E-8B44-886D850582C5}"/>
              </c:ext>
            </c:extLst>
          </c:dPt>
          <c:cat>
            <c:strRef>
              <c:f>Hoja1!$A$2:$A$16</c:f>
              <c:strCache>
                <c:ptCount val="15"/>
                <c:pt idx="0">
                  <c:v>política de seguridad</c:v>
                </c:pt>
                <c:pt idx="1">
                  <c:v>aspectos organizativos</c:v>
                </c:pt>
                <c:pt idx="2">
                  <c:v>seguridad RRHH</c:v>
                </c:pt>
                <c:pt idx="3">
                  <c:v>gestión de activos</c:v>
                </c:pt>
                <c:pt idx="4">
                  <c:v>control de accesos</c:v>
                </c:pt>
                <c:pt idx="5">
                  <c:v>cifrado</c:v>
                </c:pt>
                <c:pt idx="6">
                  <c:v>seguridad física y ambiental</c:v>
                </c:pt>
                <c:pt idx="7">
                  <c:v>seguridad operativa</c:v>
                </c:pt>
                <c:pt idx="8">
                  <c:v>seguridad teleco</c:v>
                </c:pt>
                <c:pt idx="9">
                  <c:v>adq. Des. Y man.</c:v>
                </c:pt>
                <c:pt idx="10">
                  <c:v>relaciones suministradores</c:v>
                </c:pt>
                <c:pt idx="11">
                  <c:v>gestión de incidentes</c:v>
                </c:pt>
                <c:pt idx="12">
                  <c:v>continuidad de negocio</c:v>
                </c:pt>
                <c:pt idx="13">
                  <c:v>cumplimiento</c:v>
                </c:pt>
                <c:pt idx="14">
                  <c:v>TOTAL</c:v>
                </c:pt>
              </c:strCache>
            </c:strRef>
          </c:cat>
          <c:val>
            <c:numRef>
              <c:f>Hoja1!$B$2:$B$16</c:f>
              <c:numCache>
                <c:formatCode>General</c:formatCode>
                <c:ptCount val="15"/>
                <c:pt idx="0">
                  <c:v>2</c:v>
                </c:pt>
                <c:pt idx="1">
                  <c:v>7</c:v>
                </c:pt>
                <c:pt idx="2">
                  <c:v>6</c:v>
                </c:pt>
                <c:pt idx="3">
                  <c:v>10</c:v>
                </c:pt>
                <c:pt idx="4">
                  <c:v>14</c:v>
                </c:pt>
                <c:pt idx="5">
                  <c:v>2</c:v>
                </c:pt>
                <c:pt idx="6">
                  <c:v>15</c:v>
                </c:pt>
                <c:pt idx="7">
                  <c:v>14</c:v>
                </c:pt>
                <c:pt idx="8">
                  <c:v>7</c:v>
                </c:pt>
                <c:pt idx="9">
                  <c:v>13</c:v>
                </c:pt>
                <c:pt idx="10">
                  <c:v>5</c:v>
                </c:pt>
                <c:pt idx="11">
                  <c:v>7</c:v>
                </c:pt>
                <c:pt idx="12">
                  <c:v>4</c:v>
                </c:pt>
                <c:pt idx="13">
                  <c:v>8</c:v>
                </c:pt>
                <c:pt idx="14">
                  <c:v>114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6DB-4D9E-AB9E-C0D55C8FEBC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E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E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4137C4-8769-4244-981B-39D51DD0F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García Sánchez</dc:creator>
  <cp:keywords/>
  <dc:description/>
  <cp:lastModifiedBy>Elena García Sánchez</cp:lastModifiedBy>
  <cp:revision>2</cp:revision>
  <dcterms:created xsi:type="dcterms:W3CDTF">2020-02-21T16:48:00Z</dcterms:created>
  <dcterms:modified xsi:type="dcterms:W3CDTF">2020-02-21T16:48:00Z</dcterms:modified>
</cp:coreProperties>
</file>